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E8" w:rsidRDefault="00A42F65">
      <w:r>
        <w:t>Migration Key Terms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Voluntary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Push Factors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Pull Factors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Asylum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Intervening Obstacles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proofErr w:type="spellStart"/>
      <w:r>
        <w:t>Ravensteins</w:t>
      </w:r>
      <w:proofErr w:type="spellEnd"/>
      <w:r>
        <w:t xml:space="preserve"> Laws of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Distance Decay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Gravity model of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Step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Counter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Return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Forced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Internally displaced person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Refugees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Chain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Ethnic Enclaves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Xenophobia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Brain Drain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Remittances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Floodplain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International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Internal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Interregional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Intraregional Migration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Migration Transition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Unauthorized or Undocumented Immigrants</w:t>
      </w:r>
    </w:p>
    <w:p w:rsidR="00A42F65" w:rsidRDefault="00A42F65" w:rsidP="00A42F65">
      <w:pPr>
        <w:pStyle w:val="ListParagraph"/>
        <w:numPr>
          <w:ilvl w:val="0"/>
          <w:numId w:val="1"/>
        </w:numPr>
      </w:pPr>
      <w:r>
        <w:t>Quotas</w:t>
      </w:r>
    </w:p>
    <w:p w:rsidR="00926DB6" w:rsidRDefault="00926DB6" w:rsidP="00A42F65">
      <w:pPr>
        <w:pStyle w:val="ListParagraph"/>
        <w:numPr>
          <w:ilvl w:val="0"/>
          <w:numId w:val="1"/>
        </w:numPr>
      </w:pPr>
      <w:r>
        <w:t>Guest Workers</w:t>
      </w:r>
      <w:bookmarkStart w:id="0" w:name="_GoBack"/>
      <w:bookmarkEnd w:id="0"/>
    </w:p>
    <w:sectPr w:rsidR="0092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17A7F"/>
    <w:multiLevelType w:val="hybridMultilevel"/>
    <w:tmpl w:val="691A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65"/>
    <w:rsid w:val="00926DB6"/>
    <w:rsid w:val="00A42F65"/>
    <w:rsid w:val="00E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F02F"/>
  <w15:chartTrackingRefBased/>
  <w15:docId w15:val="{508AB5B3-0CB5-4E7E-91BF-54F7AF3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2018-09-21T11:24:00Z</dcterms:created>
  <dcterms:modified xsi:type="dcterms:W3CDTF">2018-09-21T11:43:00Z</dcterms:modified>
</cp:coreProperties>
</file>