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36" w:rsidRDefault="00120219">
      <w:r>
        <w:t>Key Terms Development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Per Capita</w:t>
      </w:r>
      <w:r>
        <w:tab/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Gross National Product per capita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Gross Domestic Product per capita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Gross National Income per capita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Purchasing Power Parity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Gini Coefficient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Gender Gap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Gender Inequality Index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Human Development Index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W.W. Rostow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Modernization Model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Immanuel Wallerstein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World Systems Theory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Dependency Model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Core- Periphery Model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Core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Periphery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Semi-Periphery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Sustainable Development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NGO’s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Microcredit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Primary Sector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Secondary Sector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Tertiary Sector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Quaternary Sector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Quinary Sector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Literacy Rate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Gender Related Development Index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Gender Empowerment Measure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Foreign Direct Investment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Transnational Corporations</w:t>
      </w:r>
    </w:p>
    <w:p w:rsidR="00120219" w:rsidRDefault="00120219" w:rsidP="00120219">
      <w:pPr>
        <w:pStyle w:val="ListParagraph"/>
        <w:numPr>
          <w:ilvl w:val="0"/>
          <w:numId w:val="1"/>
        </w:numPr>
      </w:pPr>
      <w:r>
        <w:t>Structural Adjustment Program</w:t>
      </w:r>
    </w:p>
    <w:p w:rsidR="00120219" w:rsidRDefault="00120219" w:rsidP="00120219">
      <w:pPr>
        <w:pStyle w:val="ListParagraph"/>
      </w:pPr>
      <w:bookmarkStart w:id="0" w:name="_GoBack"/>
      <w:bookmarkEnd w:id="0"/>
    </w:p>
    <w:sectPr w:rsidR="0012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49CC"/>
    <w:multiLevelType w:val="hybridMultilevel"/>
    <w:tmpl w:val="490E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19"/>
    <w:rsid w:val="00120219"/>
    <w:rsid w:val="001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BCC3"/>
  <w15:chartTrackingRefBased/>
  <w15:docId w15:val="{86C29B5C-F90A-4489-A80D-1F200C9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2019-02-25T15:03:00Z</dcterms:created>
  <dcterms:modified xsi:type="dcterms:W3CDTF">2019-02-25T15:13:00Z</dcterms:modified>
</cp:coreProperties>
</file>